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B526" w14:textId="77777777" w:rsidR="006057E9" w:rsidRDefault="006057E9" w:rsidP="006057E9">
      <w:pPr>
        <w:spacing w:after="245" w:line="265" w:lineRule="auto"/>
        <w:ind w:left="226"/>
        <w:jc w:val="left"/>
      </w:pPr>
      <w:r>
        <w:rPr>
          <w:sz w:val="26"/>
        </w:rPr>
        <w:t>71.20 DESIGNATION.</w:t>
      </w:r>
    </w:p>
    <w:p w14:paraId="6658563C" w14:textId="77777777" w:rsidR="006057E9" w:rsidRDefault="006057E9" w:rsidP="006057E9">
      <w:pPr>
        <w:numPr>
          <w:ilvl w:val="1"/>
          <w:numId w:val="1"/>
        </w:numPr>
        <w:spacing w:after="245"/>
        <w:ind w:right="7"/>
      </w:pPr>
      <w:r>
        <w:t>Neb. RS 60-682.01 provides fines for operating a motor vehicle in violation of authorized speed limits and states that the fines are doubled if the violation occurs within a school crossing zone.</w:t>
      </w:r>
    </w:p>
    <w:p w14:paraId="65F1170F" w14:textId="77777777" w:rsidR="006057E9" w:rsidRDefault="006057E9" w:rsidP="006057E9">
      <w:pPr>
        <w:numPr>
          <w:ilvl w:val="1"/>
          <w:numId w:val="1"/>
        </w:numPr>
        <w:spacing w:after="278"/>
        <w:ind w:right="7"/>
      </w:pPr>
      <w:r>
        <w:t>Neb. RS 60-6,134.01 makes it unlawful for a person operating a motor vehicle to overtake and pass another vehicle in a school crossing zone in which the roadway has only one lane of traffic in each direction and provides fines for violation of that prohibition.</w:t>
      </w:r>
    </w:p>
    <w:p w14:paraId="6D0E7D6D" w14:textId="77777777" w:rsidR="006057E9" w:rsidRDefault="006057E9" w:rsidP="006057E9">
      <w:pPr>
        <w:numPr>
          <w:ilvl w:val="1"/>
          <w:numId w:val="1"/>
        </w:numPr>
        <w:ind w:right="7"/>
      </w:pPr>
      <w:r>
        <w:t xml:space="preserve">The governing body may, by resolution, designate to the public any area of a roadway, other than a freeway, as a school crossing zone </w:t>
      </w:r>
      <w:proofErr w:type="gramStart"/>
      <w:r>
        <w:t>through the use of</w:t>
      </w:r>
      <w:proofErr w:type="gramEnd"/>
      <w:r>
        <w:t xml:space="preserve"> a sign or traffic control device as specified by the governing body in conformity with the Manual on Uniform Traffic Control Devices. Any school crossing </w:t>
      </w:r>
      <w:proofErr w:type="gramStart"/>
      <w:r>
        <w:t>zone so</w:t>
      </w:r>
      <w:proofErr w:type="gramEnd"/>
      <w:r>
        <w:t xml:space="preserve"> designated starts at the location of the first sign or traffic control device identifying the school crossing zone and continues until a sign or traffic control device indicates that the school crossing zone has ended.</w:t>
      </w:r>
    </w:p>
    <w:p w14:paraId="5FEEBCC6" w14:textId="77777777" w:rsidR="006057E9" w:rsidRDefault="006057E9" w:rsidP="006057E9">
      <w:pPr>
        <w:spacing w:after="0" w:line="265" w:lineRule="auto"/>
        <w:ind w:left="31" w:right="4795"/>
        <w:jc w:val="left"/>
      </w:pPr>
      <w:r>
        <w:rPr>
          <w:sz w:val="26"/>
        </w:rPr>
        <w:t xml:space="preserve">(1999 code, 5-208) Penalty, see 71.99 Statutory reference: </w:t>
      </w:r>
      <w:r>
        <w:t>Similar provisions, see Neb. RS 60-58.01</w:t>
      </w:r>
    </w:p>
    <w:p w14:paraId="0721DC4D" w14:textId="77777777" w:rsidR="006057E9" w:rsidRDefault="006057E9"/>
    <w:sectPr w:rsidR="00605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596C"/>
    <w:multiLevelType w:val="hybridMultilevel"/>
    <w:tmpl w:val="9124A4B0"/>
    <w:lvl w:ilvl="0" w:tplc="629A1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2E59C">
      <w:start w:val="1"/>
      <w:numFmt w:val="upperLetter"/>
      <w:lvlRestart w:val="0"/>
      <w:lvlText w:val="(%2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1A46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C197A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2C6FA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C0122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448C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8B9C4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C36DC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017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E9"/>
    <w:rsid w:val="006057E9"/>
    <w:rsid w:val="00B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FCCC"/>
  <w15:chartTrackingRefBased/>
  <w15:docId w15:val="{2A951AFB-C4BB-4403-A53E-D1C66627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E9"/>
    <w:pPr>
      <w:spacing w:after="3" w:line="260" w:lineRule="auto"/>
      <w:ind w:left="25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2026-07-10T16:48:00Z</dcterms:created>
  <dcterms:modified xsi:type="dcterms:W3CDTF">2026-07-10T16:50:00Z</dcterms:modified>
</cp:coreProperties>
</file>